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A3" w:rsidRPr="00432DA3" w:rsidRDefault="00432DA3" w:rsidP="00432DA3">
      <w:pPr>
        <w:jc w:val="center"/>
        <w:rPr>
          <w:sz w:val="28"/>
        </w:rPr>
      </w:pPr>
      <w:r w:rsidRPr="00432DA3">
        <w:rPr>
          <w:b/>
          <w:bCs/>
          <w:sz w:val="28"/>
        </w:rPr>
        <w:t>El formato bibliográfico (Manual APA)</w:t>
      </w:r>
    </w:p>
    <w:p w:rsidR="00317C67" w:rsidRPr="00432DA3" w:rsidRDefault="00800D67" w:rsidP="00432DA3">
      <w:pPr>
        <w:numPr>
          <w:ilvl w:val="0"/>
          <w:numId w:val="1"/>
        </w:numPr>
        <w:jc w:val="both"/>
      </w:pPr>
      <w:r w:rsidRPr="00432DA3">
        <w:t xml:space="preserve"> El objetivo es evitar confusiones y facilitar la comunicación escrita y oral.</w:t>
      </w:r>
    </w:p>
    <w:p w:rsidR="00317C67" w:rsidRPr="00432DA3" w:rsidRDefault="00800D67" w:rsidP="00432DA3">
      <w:pPr>
        <w:numPr>
          <w:ilvl w:val="0"/>
          <w:numId w:val="1"/>
        </w:numPr>
        <w:jc w:val="both"/>
      </w:pPr>
      <w:r w:rsidRPr="00432DA3">
        <w:t xml:space="preserve"> Las pautas descritas a continuación serán las normas que se implementaran en todos los trabajos escritos del currículo de la licenciatura de EPRI.</w:t>
      </w:r>
    </w:p>
    <w:p w:rsidR="00317C67" w:rsidRPr="00432DA3" w:rsidRDefault="00800D67" w:rsidP="00432DA3">
      <w:pPr>
        <w:numPr>
          <w:ilvl w:val="0"/>
          <w:numId w:val="1"/>
        </w:numPr>
        <w:jc w:val="both"/>
      </w:pPr>
      <w:r w:rsidRPr="00432DA3">
        <w:t xml:space="preserve"> Todas estas pautas pertenecen al manual de estilo APA.</w:t>
      </w:r>
    </w:p>
    <w:p w:rsidR="00317C67" w:rsidRPr="00432DA3" w:rsidRDefault="00800D67" w:rsidP="00432DA3">
      <w:pPr>
        <w:numPr>
          <w:ilvl w:val="0"/>
          <w:numId w:val="1"/>
        </w:numPr>
        <w:jc w:val="both"/>
      </w:pPr>
      <w:r w:rsidRPr="00432DA3">
        <w:t xml:space="preserve"> Disponible en la biblioteca</w:t>
      </w:r>
    </w:p>
    <w:p w:rsidR="00317C67" w:rsidRPr="00432DA3" w:rsidRDefault="00800D67" w:rsidP="00432DA3">
      <w:pPr>
        <w:numPr>
          <w:ilvl w:val="0"/>
          <w:numId w:val="1"/>
        </w:numPr>
        <w:jc w:val="both"/>
      </w:pPr>
      <w:r w:rsidRPr="00432DA3">
        <w:t xml:space="preserve"> Las versiones originales cuentan con sus respectivas normas ortográficas.</w:t>
      </w:r>
    </w:p>
    <w:p w:rsidR="00317C67" w:rsidRPr="00432DA3" w:rsidRDefault="00800D67" w:rsidP="00432DA3">
      <w:pPr>
        <w:numPr>
          <w:ilvl w:val="0"/>
          <w:numId w:val="1"/>
        </w:numPr>
        <w:jc w:val="both"/>
      </w:pPr>
      <w:r w:rsidRPr="00432DA3">
        <w:t xml:space="preserve"> No son las mismas de nuestro idioma.</w:t>
      </w:r>
    </w:p>
    <w:p w:rsidR="00317C67" w:rsidRDefault="00800D67" w:rsidP="00432DA3">
      <w:pPr>
        <w:numPr>
          <w:ilvl w:val="0"/>
          <w:numId w:val="1"/>
        </w:numPr>
        <w:jc w:val="both"/>
      </w:pPr>
      <w:r w:rsidRPr="00432DA3">
        <w:t xml:space="preserve"> Si se piensa redactar en español, es recomendable consultar la versión castellana.</w:t>
      </w:r>
    </w:p>
    <w:p w:rsidR="00432DA3" w:rsidRDefault="00432DA3" w:rsidP="00432DA3">
      <w:pPr>
        <w:jc w:val="both"/>
      </w:pPr>
    </w:p>
    <w:p w:rsidR="00432DA3" w:rsidRPr="00432DA3" w:rsidRDefault="00432DA3" w:rsidP="00432DA3">
      <w:pPr>
        <w:jc w:val="center"/>
        <w:rPr>
          <w:sz w:val="28"/>
        </w:rPr>
      </w:pPr>
      <w:r w:rsidRPr="00432DA3">
        <w:rPr>
          <w:b/>
          <w:bCs/>
          <w:sz w:val="28"/>
        </w:rPr>
        <w:lastRenderedPageBreak/>
        <w:t>La cita directa</w:t>
      </w:r>
    </w:p>
    <w:p w:rsidR="00317C67" w:rsidRPr="00432DA3" w:rsidRDefault="00800D67" w:rsidP="00432DA3">
      <w:pPr>
        <w:numPr>
          <w:ilvl w:val="0"/>
          <w:numId w:val="2"/>
        </w:numPr>
        <w:jc w:val="both"/>
      </w:pPr>
      <w:r w:rsidRPr="00432DA3">
        <w:t xml:space="preserve">Citación de fuentes: cuando se cite un fragmento directamente de otro trabajo el duplicado debe ser literal. Para indicar </w:t>
      </w:r>
      <w:r w:rsidR="00432DA3">
        <w:t>do</w:t>
      </w:r>
      <w:r w:rsidR="00432DA3" w:rsidRPr="00432DA3">
        <w:t>nde</w:t>
      </w:r>
      <w:r w:rsidRPr="00432DA3">
        <w:t xml:space="preserve"> comienza y termina la cita utilice comillas dobles: las inglesas (“……”) o las latinas (</w:t>
      </w:r>
      <w:r w:rsidRPr="00432DA3">
        <w:rPr>
          <w:rFonts w:ascii="Cambria Math" w:hAnsi="Cambria Math" w:cs="Cambria Math"/>
        </w:rPr>
        <w:t>≪</w:t>
      </w:r>
      <w:r w:rsidRPr="00432DA3">
        <w:rPr>
          <w:rFonts w:ascii="Calibri" w:hAnsi="Calibri" w:cs="Calibri"/>
        </w:rPr>
        <w:t>….</w:t>
      </w:r>
      <w:r w:rsidRPr="00432DA3">
        <w:rPr>
          <w:rFonts w:ascii="Cambria Math" w:hAnsi="Cambria Math" w:cs="Cambria Math"/>
        </w:rPr>
        <w:t>≫</w:t>
      </w:r>
      <w:r w:rsidRPr="00432DA3">
        <w:rPr>
          <w:rFonts w:ascii="Calibri" w:hAnsi="Calibri" w:cs="Calibri"/>
        </w:rPr>
        <w:t>).</w:t>
      </w:r>
    </w:p>
    <w:p w:rsidR="00432DA3" w:rsidRPr="00432DA3" w:rsidRDefault="00432DA3" w:rsidP="00432DA3">
      <w:pPr>
        <w:jc w:val="both"/>
      </w:pPr>
      <w:r w:rsidRPr="00432DA3">
        <w:tab/>
        <w:t xml:space="preserve">Existen dos tipos de citas textuales: la de </w:t>
      </w:r>
      <w:r w:rsidRPr="00432DA3">
        <w:rPr>
          <w:i/>
          <w:iCs/>
        </w:rPr>
        <w:t xml:space="preserve">tres líneas o menos </w:t>
      </w:r>
      <w:r w:rsidRPr="00432DA3">
        <w:t xml:space="preserve">y la </w:t>
      </w:r>
      <w:r w:rsidRPr="00432DA3">
        <w:rPr>
          <w:i/>
          <w:iCs/>
        </w:rPr>
        <w:t>cita en bloque</w:t>
      </w:r>
      <w:r w:rsidRPr="00432DA3">
        <w:t>.</w:t>
      </w:r>
    </w:p>
    <w:p w:rsidR="00432DA3" w:rsidRPr="00432DA3" w:rsidRDefault="00432DA3" w:rsidP="00432DA3">
      <w:pPr>
        <w:jc w:val="both"/>
      </w:pPr>
      <w:r w:rsidRPr="00432DA3">
        <w:t xml:space="preserve"> </w:t>
      </w:r>
    </w:p>
    <w:p w:rsidR="00432DA3" w:rsidRPr="00432DA3" w:rsidRDefault="00432DA3" w:rsidP="00432DA3">
      <w:pPr>
        <w:jc w:val="both"/>
      </w:pPr>
      <w:r w:rsidRPr="00432DA3">
        <w:t xml:space="preserve"> La cita textual de tres líneas o menos se incluye dentro del texto. </w:t>
      </w:r>
    </w:p>
    <w:p w:rsidR="00432DA3" w:rsidRPr="00432DA3" w:rsidRDefault="00432DA3" w:rsidP="00432DA3">
      <w:pPr>
        <w:jc w:val="both"/>
      </w:pPr>
      <w:r w:rsidRPr="00432DA3">
        <w:t xml:space="preserve"> Hay tres formas de referir la fuente:</w:t>
      </w:r>
    </w:p>
    <w:p w:rsidR="00432DA3" w:rsidRPr="00432DA3" w:rsidRDefault="00432DA3" w:rsidP="00432DA3">
      <w:pPr>
        <w:jc w:val="both"/>
      </w:pPr>
      <w:r w:rsidRPr="00432DA3">
        <w:tab/>
        <w:t>1.- Seguido de los apellidos del autor</w:t>
      </w:r>
    </w:p>
    <w:p w:rsidR="00432DA3" w:rsidRPr="00432DA3" w:rsidRDefault="00432DA3" w:rsidP="00432DA3">
      <w:pPr>
        <w:jc w:val="both"/>
      </w:pPr>
      <w:r w:rsidRPr="00432DA3">
        <w:tab/>
        <w:t>2.- Después de la cita</w:t>
      </w:r>
    </w:p>
    <w:p w:rsidR="00432DA3" w:rsidRPr="00432DA3" w:rsidRDefault="00432DA3" w:rsidP="00432DA3">
      <w:pPr>
        <w:jc w:val="both"/>
      </w:pPr>
      <w:r w:rsidRPr="00432DA3">
        <w:tab/>
        <w:t>3.- Separada</w:t>
      </w:r>
    </w:p>
    <w:p w:rsidR="00432DA3" w:rsidRPr="00432DA3" w:rsidRDefault="00976235" w:rsidP="00432DA3">
      <w:pPr>
        <w:jc w:val="both"/>
      </w:pPr>
      <w:r>
        <w:t>Colo</w:t>
      </w:r>
      <w:r w:rsidRPr="00432DA3">
        <w:t>que</w:t>
      </w:r>
      <w:r w:rsidR="00432DA3" w:rsidRPr="00432DA3">
        <w:t xml:space="preserve"> entre paréntesis el año de publicación del texto, coma y el número de la</w:t>
      </w:r>
      <w:r>
        <w:t xml:space="preserve"> pá</w:t>
      </w:r>
      <w:r w:rsidR="00432DA3" w:rsidRPr="00432DA3">
        <w:t xml:space="preserve">gina de donde extrajo la cita. </w:t>
      </w:r>
    </w:p>
    <w:p w:rsidR="00432DA3" w:rsidRPr="00432DA3" w:rsidRDefault="00432DA3" w:rsidP="00432DA3">
      <w:pPr>
        <w:jc w:val="both"/>
      </w:pPr>
      <w:r w:rsidRPr="00432DA3">
        <w:lastRenderedPageBreak/>
        <w:t>b)</w:t>
      </w:r>
      <w:r w:rsidRPr="00432DA3">
        <w:rPr>
          <w:b/>
        </w:rPr>
        <w:t xml:space="preserve"> Fidelidad</w:t>
      </w:r>
      <w:r w:rsidRPr="00432DA3">
        <w:t>: las citas textuales deben ser fieles incluso si se sabe que existen incorrecciones (errores editoriales), si existiera un falta de ortografía puntuación o gramática en la fuente original, inserte la expresión</w:t>
      </w:r>
      <w:r w:rsidRPr="00432DA3">
        <w:rPr>
          <w:i/>
          <w:iCs/>
        </w:rPr>
        <w:t xml:space="preserve"> sic</w:t>
      </w:r>
      <w:r w:rsidRPr="00432DA3">
        <w:t>, en cursivas y entre corchetes: [</w:t>
      </w:r>
      <w:r w:rsidRPr="00432DA3">
        <w:rPr>
          <w:i/>
          <w:iCs/>
        </w:rPr>
        <w:t>sic</w:t>
      </w:r>
      <w:r w:rsidRPr="00432DA3">
        <w:t>]10 inmediatamente después del error en la cita.</w:t>
      </w:r>
    </w:p>
    <w:p w:rsidR="00036E9C" w:rsidRDefault="00432DA3" w:rsidP="00432DA3">
      <w:pPr>
        <w:jc w:val="both"/>
      </w:pPr>
      <w:r w:rsidRPr="00432DA3">
        <w:t xml:space="preserve">   Ejemplo:</w:t>
      </w:r>
    </w:p>
    <w:p w:rsidR="00432DA3" w:rsidRPr="00432DA3" w:rsidRDefault="00432DA3" w:rsidP="00432DA3">
      <w:pPr>
        <w:jc w:val="both"/>
      </w:pPr>
      <w:r w:rsidRPr="00432DA3">
        <w:t>“Agosto madura y [</w:t>
      </w:r>
      <w:r w:rsidRPr="00432DA3">
        <w:rPr>
          <w:i/>
          <w:iCs/>
        </w:rPr>
        <w:t xml:space="preserve">sic </w:t>
      </w:r>
      <w:r w:rsidRPr="00432DA3">
        <w:t>] vendimia la uva y la fruta” (La gitanilla, 1996, p. 38).</w:t>
      </w:r>
    </w:p>
    <w:p w:rsidR="00432DA3" w:rsidRPr="00432DA3" w:rsidRDefault="00432DA3" w:rsidP="00432DA3">
      <w:pPr>
        <w:jc w:val="both"/>
      </w:pPr>
      <w:r w:rsidRPr="00432DA3">
        <w:t xml:space="preserve">c) </w:t>
      </w:r>
      <w:r w:rsidRPr="00432DA3">
        <w:rPr>
          <w:b/>
          <w:bCs/>
        </w:rPr>
        <w:t>Comillas dobles</w:t>
      </w:r>
      <w:r w:rsidRPr="00432DA3">
        <w:t>: determinarán la información contraída de una fuente .</w:t>
      </w:r>
    </w:p>
    <w:p w:rsidR="00432DA3" w:rsidRPr="00432DA3" w:rsidRDefault="00432DA3" w:rsidP="00432DA3">
      <w:pPr>
        <w:jc w:val="both"/>
      </w:pPr>
      <w:r w:rsidRPr="00432DA3">
        <w:rPr>
          <w:rFonts w:ascii="Cambria Math" w:hAnsi="Cambria Math" w:cs="Cambria Math"/>
          <w:b/>
          <w:bCs/>
        </w:rPr>
        <w:t>≪</w:t>
      </w:r>
      <w:r w:rsidRPr="00432DA3">
        <w:rPr>
          <w:rFonts w:ascii="Calibri" w:hAnsi="Calibri" w:cs="Calibri"/>
          <w:b/>
          <w:bCs/>
        </w:rPr>
        <w:t>…….</w:t>
      </w:r>
      <w:r w:rsidRPr="00432DA3">
        <w:rPr>
          <w:rFonts w:ascii="Cambria Math" w:hAnsi="Cambria Math" w:cs="Cambria Math"/>
          <w:b/>
          <w:bCs/>
        </w:rPr>
        <w:t>≫</w:t>
      </w:r>
      <w:r w:rsidRPr="00432DA3">
        <w:rPr>
          <w:rFonts w:ascii="Calibri" w:hAnsi="Calibri" w:cs="Calibri"/>
          <w:b/>
          <w:bCs/>
        </w:rPr>
        <w:t xml:space="preserve">      “…….”</w:t>
      </w:r>
    </w:p>
    <w:p w:rsidR="00432DA3" w:rsidRPr="00432DA3" w:rsidRDefault="00432DA3" w:rsidP="00432DA3">
      <w:pPr>
        <w:jc w:val="both"/>
      </w:pPr>
      <w:r w:rsidRPr="00432DA3">
        <w:tab/>
        <w:t xml:space="preserve">Las comillas sencillas o </w:t>
      </w:r>
      <w:r w:rsidR="00800D67" w:rsidRPr="00432DA3">
        <w:t>apóstrofos (</w:t>
      </w:r>
      <w:r w:rsidRPr="00432DA3">
        <w:t xml:space="preserve">‘…’) resaltan lo que se encierra en la fuente original entre comillas dobles, si éstas son inglesas. </w:t>
      </w:r>
    </w:p>
    <w:p w:rsidR="00976235" w:rsidRPr="00976235" w:rsidRDefault="00432DA3" w:rsidP="00976235">
      <w:pPr>
        <w:jc w:val="both"/>
      </w:pPr>
      <w:r w:rsidRPr="00432DA3">
        <w:tab/>
        <w:t>Si se hace uso de las latinas, utilice las comillas dobles (“..”) para resaltar una palabra o un conjunto de palabras.</w:t>
      </w:r>
    </w:p>
    <w:p w:rsidR="00432DA3" w:rsidRPr="00432DA3" w:rsidRDefault="00432DA3" w:rsidP="00432DA3">
      <w:pPr>
        <w:jc w:val="center"/>
      </w:pPr>
      <w:r w:rsidRPr="00432DA3">
        <w:rPr>
          <w:b/>
          <w:bCs/>
        </w:rPr>
        <w:t>La cita indirecta, paráfrasis o discurso citado</w:t>
      </w:r>
    </w:p>
    <w:p w:rsidR="00432DA3" w:rsidRPr="00432DA3" w:rsidRDefault="00432DA3" w:rsidP="00432DA3">
      <w:pPr>
        <w:jc w:val="both"/>
        <w:rPr>
          <w:sz w:val="20"/>
        </w:rPr>
      </w:pPr>
      <w:r w:rsidRPr="00432DA3">
        <w:rPr>
          <w:sz w:val="20"/>
        </w:rPr>
        <w:lastRenderedPageBreak/>
        <w:t>Otro recurso para citar es la paráfrasis o la cita indirecta:</w:t>
      </w:r>
    </w:p>
    <w:p w:rsidR="00317C67" w:rsidRPr="00432DA3" w:rsidRDefault="00800D67" w:rsidP="00432DA3">
      <w:pPr>
        <w:numPr>
          <w:ilvl w:val="0"/>
          <w:numId w:val="3"/>
        </w:numPr>
        <w:jc w:val="both"/>
        <w:rPr>
          <w:sz w:val="20"/>
        </w:rPr>
      </w:pPr>
      <w:r w:rsidRPr="00432DA3">
        <w:rPr>
          <w:b/>
          <w:bCs/>
          <w:sz w:val="20"/>
        </w:rPr>
        <w:t xml:space="preserve">  Parafrasear </w:t>
      </w:r>
      <w:r w:rsidRPr="00432DA3">
        <w:rPr>
          <w:sz w:val="20"/>
        </w:rPr>
        <w:t>es repetir indirectamente el mensaje que expresó el emisor pero         con palabras propias. Se pueden utilizar palabras claves del texto original.</w:t>
      </w:r>
    </w:p>
    <w:p w:rsidR="00432DA3" w:rsidRPr="00432DA3" w:rsidRDefault="00432DA3" w:rsidP="00432DA3">
      <w:pPr>
        <w:jc w:val="both"/>
        <w:rPr>
          <w:sz w:val="20"/>
        </w:rPr>
      </w:pPr>
      <w:r w:rsidRPr="00432DA3">
        <w:rPr>
          <w:sz w:val="20"/>
        </w:rPr>
        <w:tab/>
        <w:t>Para parafrasear puede:</w:t>
      </w:r>
    </w:p>
    <w:p w:rsidR="00432DA3" w:rsidRPr="00432DA3" w:rsidRDefault="00432DA3" w:rsidP="00432DA3">
      <w:pPr>
        <w:jc w:val="both"/>
        <w:rPr>
          <w:sz w:val="20"/>
        </w:rPr>
      </w:pPr>
      <w:r w:rsidRPr="00432DA3">
        <w:rPr>
          <w:sz w:val="20"/>
        </w:rPr>
        <w:tab/>
        <w:t>- Usar sinónimos</w:t>
      </w:r>
    </w:p>
    <w:p w:rsidR="00432DA3" w:rsidRPr="00432DA3" w:rsidRDefault="00432DA3" w:rsidP="00432DA3">
      <w:pPr>
        <w:jc w:val="both"/>
        <w:rPr>
          <w:sz w:val="20"/>
        </w:rPr>
      </w:pPr>
      <w:r w:rsidRPr="00432DA3">
        <w:rPr>
          <w:sz w:val="20"/>
        </w:rPr>
        <w:tab/>
        <w:t>- Cambiar el orden de la estructura de la frase.</w:t>
      </w:r>
    </w:p>
    <w:p w:rsidR="00432DA3" w:rsidRPr="00432DA3" w:rsidRDefault="00432DA3" w:rsidP="00432DA3">
      <w:pPr>
        <w:jc w:val="both"/>
        <w:rPr>
          <w:sz w:val="20"/>
        </w:rPr>
      </w:pPr>
      <w:r w:rsidRPr="00432DA3">
        <w:rPr>
          <w:sz w:val="20"/>
        </w:rPr>
        <w:tab/>
        <w:t>- Reducir los párrafos de la fuente original a frases.</w:t>
      </w:r>
    </w:p>
    <w:p w:rsidR="00432DA3" w:rsidRPr="00432DA3" w:rsidRDefault="00432DA3" w:rsidP="00432DA3">
      <w:pPr>
        <w:jc w:val="both"/>
        <w:rPr>
          <w:sz w:val="20"/>
        </w:rPr>
      </w:pPr>
      <w:r w:rsidRPr="00432DA3">
        <w:rPr>
          <w:sz w:val="20"/>
        </w:rPr>
        <w:tab/>
        <w:t>- Cambiar partes del texto original pero que digan lo mismo.</w:t>
      </w:r>
    </w:p>
    <w:p w:rsidR="00432DA3" w:rsidRPr="00053FCD" w:rsidRDefault="00800D67" w:rsidP="00432DA3">
      <w:pPr>
        <w:numPr>
          <w:ilvl w:val="0"/>
          <w:numId w:val="4"/>
        </w:numPr>
        <w:jc w:val="both"/>
        <w:rPr>
          <w:sz w:val="20"/>
        </w:rPr>
      </w:pPr>
      <w:r w:rsidRPr="00432DA3">
        <w:rPr>
          <w:sz w:val="20"/>
        </w:rPr>
        <w:t xml:space="preserve">En las citas indirectas </w:t>
      </w:r>
      <w:r w:rsidRPr="00432DA3">
        <w:rPr>
          <w:b/>
          <w:bCs/>
          <w:sz w:val="20"/>
        </w:rPr>
        <w:t>no</w:t>
      </w:r>
      <w:r w:rsidRPr="00432DA3">
        <w:rPr>
          <w:sz w:val="20"/>
        </w:rPr>
        <w:t xml:space="preserve"> se utilizan las comillas.</w:t>
      </w:r>
    </w:p>
    <w:p w:rsidR="00432DA3" w:rsidRPr="00432DA3" w:rsidRDefault="00432DA3" w:rsidP="00432DA3">
      <w:pPr>
        <w:jc w:val="both"/>
      </w:pPr>
      <w:r w:rsidRPr="00432DA3">
        <w:rPr>
          <w:b/>
          <w:bCs/>
        </w:rPr>
        <w:t>Las citas en el texto</w:t>
      </w:r>
    </w:p>
    <w:p w:rsidR="00432DA3" w:rsidRPr="00432DA3" w:rsidRDefault="00432DA3" w:rsidP="00432DA3">
      <w:pPr>
        <w:jc w:val="both"/>
      </w:pPr>
      <w:r w:rsidRPr="00432DA3">
        <w:t xml:space="preserve">En este se enumeran algunos de los formatos que consideramos </w:t>
      </w:r>
      <w:r w:rsidR="00053FCD" w:rsidRPr="00432DA3">
        <w:t>más</w:t>
      </w:r>
      <w:r w:rsidRPr="00432DA3">
        <w:t xml:space="preserve"> </w:t>
      </w:r>
      <w:r w:rsidR="00800D67" w:rsidRPr="00432DA3">
        <w:t xml:space="preserve">usuales. </w:t>
      </w:r>
      <w:r w:rsidRPr="00432DA3">
        <w:t xml:space="preserve">Si hay alguna fuente que no se encuentra en esta lista se pueden consultar los manuales disponibles en la biblioteca. La información proporcionada en el texto </w:t>
      </w:r>
      <w:r w:rsidRPr="00432DA3">
        <w:lastRenderedPageBreak/>
        <w:t xml:space="preserve">identifica la fuente para el lector y le permite ubicarla en la lista de referencias al final del trabajo titulada </w:t>
      </w:r>
      <w:r w:rsidRPr="00432DA3">
        <w:rPr>
          <w:b/>
          <w:bCs/>
        </w:rPr>
        <w:t>“Bibliografía</w:t>
      </w:r>
      <w:r w:rsidR="00800D67" w:rsidRPr="00432DA3">
        <w:rPr>
          <w:b/>
          <w:bCs/>
        </w:rPr>
        <w:t>”.</w:t>
      </w:r>
    </w:p>
    <w:p w:rsidR="00317C67" w:rsidRPr="00432DA3" w:rsidRDefault="00800D67" w:rsidP="00432DA3">
      <w:pPr>
        <w:numPr>
          <w:ilvl w:val="0"/>
          <w:numId w:val="5"/>
        </w:numPr>
        <w:jc w:val="both"/>
      </w:pPr>
      <w:r w:rsidRPr="00432DA3">
        <w:t xml:space="preserve"> El apellido del autor guiará al lector a localizar dicha fuente bibliográfica.</w:t>
      </w:r>
    </w:p>
    <w:p w:rsidR="00317C67" w:rsidRDefault="00800D67" w:rsidP="00432DA3">
      <w:pPr>
        <w:numPr>
          <w:ilvl w:val="0"/>
          <w:numId w:val="5"/>
        </w:numPr>
        <w:jc w:val="both"/>
      </w:pPr>
      <w:r w:rsidRPr="00432DA3">
        <w:t xml:space="preserve"> El año de publicación de la obra ayudará a ubicar exactamente la referencia que haya utilizado en el texto.</w:t>
      </w:r>
    </w:p>
    <w:p w:rsidR="00317C67" w:rsidRDefault="00800D67" w:rsidP="00053FCD">
      <w:pPr>
        <w:jc w:val="both"/>
        <w:rPr>
          <w:b/>
          <w:bCs/>
        </w:rPr>
      </w:pPr>
      <w:r>
        <w:rPr>
          <w:b/>
          <w:bCs/>
        </w:rPr>
        <w:t>Tipos de textos:</w:t>
      </w:r>
    </w:p>
    <w:p w:rsidR="00800D67" w:rsidRPr="00800D67" w:rsidRDefault="00800D67" w:rsidP="00053FCD">
      <w:pPr>
        <w:jc w:val="both"/>
        <w:rPr>
          <w:bCs/>
        </w:rPr>
      </w:pPr>
      <w:r w:rsidRPr="00800D67">
        <w:rPr>
          <w:bCs/>
        </w:rPr>
        <w:t>a) Artículo de revista</w:t>
      </w:r>
    </w:p>
    <w:p w:rsidR="00800D67" w:rsidRPr="00800D67" w:rsidRDefault="00800D67" w:rsidP="00800D67">
      <w:r w:rsidRPr="00800D67">
        <w:rPr>
          <w:bCs/>
        </w:rPr>
        <w:t>b) Artículo o ensayo incluido en una antología</w:t>
      </w:r>
    </w:p>
    <w:p w:rsidR="00800D67" w:rsidRPr="00800D67" w:rsidRDefault="00800D67" w:rsidP="00800D67">
      <w:r w:rsidRPr="00800D67">
        <w:rPr>
          <w:bCs/>
        </w:rPr>
        <w:t>c) Artículo periodístico</w:t>
      </w:r>
      <w:r w:rsidRPr="00800D67">
        <w:t xml:space="preserve">  </w:t>
      </w:r>
    </w:p>
    <w:p w:rsidR="00800D67" w:rsidRPr="00800D67" w:rsidRDefault="00800D67" w:rsidP="00800D67">
      <w:r w:rsidRPr="00800D67">
        <w:rPr>
          <w:bCs/>
        </w:rPr>
        <w:t>d) Comunicaciones personales (entrevistas o llamada telefónica)</w:t>
      </w:r>
    </w:p>
    <w:p w:rsidR="00800D67" w:rsidRPr="00800D67" w:rsidRDefault="00800D67" w:rsidP="00800D67">
      <w:r w:rsidRPr="00800D67">
        <w:t>e) Disertación, presentación o conferencia</w:t>
      </w:r>
    </w:p>
    <w:p w:rsidR="00800D67" w:rsidRPr="00800D67" w:rsidRDefault="00800D67" w:rsidP="00800D67">
      <w:r w:rsidRPr="00800D67">
        <w:t>f) Enciclopedia</w:t>
      </w:r>
    </w:p>
    <w:p w:rsidR="00800D67" w:rsidRPr="00800D67" w:rsidRDefault="00800D67" w:rsidP="00800D67">
      <w:r w:rsidRPr="00800D67">
        <w:rPr>
          <w:bCs/>
        </w:rPr>
        <w:t>g) Informe institucional</w:t>
      </w:r>
    </w:p>
    <w:p w:rsidR="00053FCD" w:rsidRDefault="00053FCD" w:rsidP="00800D67">
      <w:pPr>
        <w:jc w:val="both"/>
      </w:pPr>
    </w:p>
    <w:p w:rsidR="00053FCD" w:rsidRDefault="00540F79" w:rsidP="00432DA3">
      <w:pPr>
        <w:jc w:val="both"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4.8pt;margin-top:22.2pt;width:80.25pt;height:45.8pt;z-index:-251658240" fillcolor="#b2b2b2" strokecolor="#33c" strokeweight="1pt">
            <v:fill opacity=".5"/>
            <v:shadow on="t" color="#99f" offset="3pt"/>
            <v:textpath style="font-family:&quot;French Script MT&quot;;v-text-kern:t" trim="t" fitpath="t" string="Juárez"/>
          </v:shape>
        </w:pict>
      </w:r>
      <w:r w:rsidR="00053FCD" w:rsidRPr="00053FCD">
        <w:rPr>
          <w:noProof/>
          <w:lang w:eastAsia="es-MX"/>
        </w:rPr>
        <w:drawing>
          <wp:inline distT="0" distB="0" distL="0" distR="0">
            <wp:extent cx="2457450" cy="1266825"/>
            <wp:effectExtent l="0" t="0" r="0" b="0"/>
            <wp:docPr id="7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55954" cy="2431435"/>
                      <a:chOff x="1979712" y="260648"/>
                      <a:chExt cx="5355954" cy="2431435"/>
                    </a:xfrm>
                  </a:grpSpPr>
                  <a:sp>
                    <a:nvSpPr>
                      <a:cNvPr id="12" name="5 Rectángulo"/>
                      <a:cNvSpPr/>
                    </a:nvSpPr>
                    <a:spPr>
                      <a:xfrm>
                        <a:off x="1979712" y="260648"/>
                        <a:ext cx="5355954" cy="243143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s-MX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62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Britannic Bold" pitchFamily="34" charset="0"/>
                            </a:rPr>
                            <a:t>Universidad</a:t>
                          </a:r>
                        </a:p>
                        <a:p>
                          <a:pPr algn="ctr"/>
                          <a:endParaRPr lang="es-ES" sz="3600" b="1" cap="all" dirty="0" smtClean="0">
                            <a:ln/>
                            <a:solidFill>
                              <a:schemeClr val="accent1"/>
                            </a:solidFill>
                            <a:effectLst>
                              <a:outerShdw blurRad="19685" dist="12700" dir="5400000" algn="tl" rotWithShape="0">
                                <a:schemeClr val="accent1">
                                  <a:satMod val="130000"/>
                                  <a:alpha val="60000"/>
                                </a:schemeClr>
                              </a:outerShdw>
                              <a:reflection blurRad="10000" stA="55000" endPos="48000" dist="500" dir="5400000" sy="-100000" algn="bl" rotWithShape="0"/>
                            </a:effectLst>
                            <a:latin typeface="Britannic Bold" pitchFamily="34" charset="0"/>
                          </a:endParaRPr>
                        </a:p>
                        <a:p>
                          <a:pPr algn="ctr"/>
                          <a:r>
                            <a:rPr lang="es-ES" sz="36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Britannic Bold" pitchFamily="34" charset="0"/>
                            </a:rPr>
                            <a:t>Autónoma de Tabasco</a:t>
                          </a:r>
                        </a:p>
                        <a:p>
                          <a:pPr algn="ctr"/>
                          <a:r>
                            <a:rPr lang="es-ES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Britannic Bold" pitchFamily="34" charset="0"/>
                            </a:rPr>
                            <a:t>División Académica de educación y artes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53FCD" w:rsidRDefault="00053FCD" w:rsidP="00053FCD">
      <w:pPr>
        <w:jc w:val="center"/>
        <w:rPr>
          <w:b/>
          <w:bCs/>
        </w:rPr>
      </w:pPr>
      <w:r w:rsidRPr="00053FCD">
        <w:rPr>
          <w:b/>
          <w:bCs/>
        </w:rPr>
        <w:t>Géneros Académicos</w:t>
      </w:r>
    </w:p>
    <w:p w:rsidR="00053FCD" w:rsidRPr="00053FCD" w:rsidRDefault="00053FCD" w:rsidP="00053FCD">
      <w:pPr>
        <w:jc w:val="center"/>
      </w:pPr>
    </w:p>
    <w:p w:rsidR="00053FCD" w:rsidRPr="00053FCD" w:rsidRDefault="00053FCD" w:rsidP="00053FCD">
      <w:pPr>
        <w:jc w:val="center"/>
      </w:pPr>
      <w:r>
        <w:rPr>
          <w:b/>
          <w:bCs/>
        </w:rPr>
        <w:t>Equipo 2</w:t>
      </w:r>
      <w:r w:rsidRPr="00053FCD">
        <w:rPr>
          <w:b/>
          <w:bCs/>
        </w:rPr>
        <w:t>:</w:t>
      </w:r>
    </w:p>
    <w:p w:rsidR="00053FCD" w:rsidRPr="00053FCD" w:rsidRDefault="00053FCD" w:rsidP="00053FCD">
      <w:pPr>
        <w:jc w:val="center"/>
      </w:pPr>
      <w:r w:rsidRPr="00053FCD">
        <w:rPr>
          <w:b/>
          <w:bCs/>
        </w:rPr>
        <w:t>Bonilla Chan Rosa Gloria</w:t>
      </w:r>
    </w:p>
    <w:p w:rsidR="00053FCD" w:rsidRPr="00053FCD" w:rsidRDefault="00053FCD" w:rsidP="00053FCD">
      <w:pPr>
        <w:jc w:val="center"/>
      </w:pPr>
      <w:r w:rsidRPr="00053FCD">
        <w:rPr>
          <w:b/>
          <w:bCs/>
        </w:rPr>
        <w:t>Cortaza López Natividad Guadalupe</w:t>
      </w:r>
    </w:p>
    <w:p w:rsidR="00976235" w:rsidRPr="00976235" w:rsidRDefault="00053FCD" w:rsidP="00976235">
      <w:pPr>
        <w:jc w:val="center"/>
        <w:rPr>
          <w:b/>
          <w:bCs/>
        </w:rPr>
      </w:pPr>
      <w:r w:rsidRPr="00053FCD">
        <w:rPr>
          <w:b/>
          <w:bCs/>
        </w:rPr>
        <w:t>Flores Rodríguez Yolanda</w:t>
      </w:r>
    </w:p>
    <w:p w:rsidR="00053FCD" w:rsidRDefault="00053FCD" w:rsidP="00053FCD">
      <w:pPr>
        <w:jc w:val="center"/>
        <w:rPr>
          <w:b/>
          <w:bCs/>
        </w:rPr>
      </w:pPr>
      <w:r w:rsidRPr="00053FCD">
        <w:rPr>
          <w:b/>
          <w:bCs/>
        </w:rPr>
        <w:t>García Hernández Rubí Yaret</w:t>
      </w:r>
    </w:p>
    <w:p w:rsidR="00976235" w:rsidRPr="00053FCD" w:rsidRDefault="00976235" w:rsidP="00053FCD">
      <w:pPr>
        <w:jc w:val="center"/>
      </w:pPr>
      <w:r>
        <w:rPr>
          <w:b/>
          <w:bCs/>
        </w:rPr>
        <w:t>Hernández Cetz Sandra Priscilla</w:t>
      </w:r>
    </w:p>
    <w:p w:rsidR="00053FCD" w:rsidRPr="00053FCD" w:rsidRDefault="00053FCD" w:rsidP="00053FCD">
      <w:pPr>
        <w:jc w:val="center"/>
      </w:pPr>
      <w:r w:rsidRPr="00053FCD">
        <w:rPr>
          <w:b/>
          <w:bCs/>
        </w:rPr>
        <w:t>Landero de la Cruz Estrella</w:t>
      </w:r>
    </w:p>
    <w:p w:rsidR="00053FCD" w:rsidRPr="00976235" w:rsidRDefault="00053FCD" w:rsidP="00976235">
      <w:pPr>
        <w:jc w:val="center"/>
        <w:rPr>
          <w:b/>
          <w:bCs/>
        </w:rPr>
      </w:pPr>
      <w:r w:rsidRPr="00053FCD">
        <w:rPr>
          <w:b/>
          <w:bCs/>
        </w:rPr>
        <w:t>Sosa de la Cruz Alejandra</w:t>
      </w:r>
    </w:p>
    <w:p w:rsidR="00053FCD" w:rsidRDefault="00053FCD" w:rsidP="00053FCD">
      <w:pPr>
        <w:jc w:val="center"/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136525</wp:posOffset>
            </wp:positionV>
            <wp:extent cx="1085850" cy="1800225"/>
            <wp:effectExtent l="19050" t="0" r="0" b="0"/>
            <wp:wrapNone/>
            <wp:docPr id="9" name="Imagen 5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FCD">
        <w:rPr>
          <w:b/>
          <w:bCs/>
        </w:rPr>
        <w:t>Villahermosa Tabasco Octubre del 2011</w:t>
      </w:r>
    </w:p>
    <w:sectPr w:rsidR="00053FCD" w:rsidSect="00432DA3">
      <w:pgSz w:w="15840" w:h="12240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75A"/>
    <w:multiLevelType w:val="hybridMultilevel"/>
    <w:tmpl w:val="F3CA1E54"/>
    <w:lvl w:ilvl="0" w:tplc="E25445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264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EE74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50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C80A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FCC9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E0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7A2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AA02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F0D5F"/>
    <w:multiLevelType w:val="hybridMultilevel"/>
    <w:tmpl w:val="9AB813FA"/>
    <w:lvl w:ilvl="0" w:tplc="9CDA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AA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8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A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29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0F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2E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89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96452B"/>
    <w:multiLevelType w:val="hybridMultilevel"/>
    <w:tmpl w:val="86BC3C5E"/>
    <w:lvl w:ilvl="0" w:tplc="70004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E3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C4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03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80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0E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8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84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FC2B8A"/>
    <w:multiLevelType w:val="hybridMultilevel"/>
    <w:tmpl w:val="05BC50DE"/>
    <w:lvl w:ilvl="0" w:tplc="EE8A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E1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4C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04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C6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49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4E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C3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88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263D8E"/>
    <w:multiLevelType w:val="hybridMultilevel"/>
    <w:tmpl w:val="78F86476"/>
    <w:lvl w:ilvl="0" w:tplc="7AA0D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4D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20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A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3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4D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A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E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49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135D3F"/>
    <w:multiLevelType w:val="hybridMultilevel"/>
    <w:tmpl w:val="04FCB1F0"/>
    <w:lvl w:ilvl="0" w:tplc="EED4F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70C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9C37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4E68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DB052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B291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7858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2483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66FC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32DA3"/>
    <w:rsid w:val="00036E9C"/>
    <w:rsid w:val="00053FCD"/>
    <w:rsid w:val="00317C67"/>
    <w:rsid w:val="00432DA3"/>
    <w:rsid w:val="00540F79"/>
    <w:rsid w:val="005C0D1C"/>
    <w:rsid w:val="00800D67"/>
    <w:rsid w:val="0097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Maestros</cp:lastModifiedBy>
  <cp:revision>2</cp:revision>
  <dcterms:created xsi:type="dcterms:W3CDTF">2011-10-19T22:41:00Z</dcterms:created>
  <dcterms:modified xsi:type="dcterms:W3CDTF">2011-10-19T22:41:00Z</dcterms:modified>
</cp:coreProperties>
</file>